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2" w:rsidRDefault="003E54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54F2" w:rsidRDefault="003E54F2">
      <w:pPr>
        <w:pStyle w:val="ConsPlusNormal"/>
        <w:jc w:val="both"/>
      </w:pPr>
    </w:p>
    <w:p w:rsidR="003E54F2" w:rsidRDefault="003E54F2">
      <w:pPr>
        <w:pStyle w:val="ConsPlusNormal"/>
      </w:pPr>
      <w:r>
        <w:t>Зарегистрировано в Минюсте России 6 марта 2014 г. N 31528</w:t>
      </w:r>
    </w:p>
    <w:p w:rsidR="003E54F2" w:rsidRDefault="003E5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4F2" w:rsidRDefault="003E54F2">
      <w:pPr>
        <w:pStyle w:val="ConsPlusNormal"/>
        <w:jc w:val="center"/>
      </w:pPr>
    </w:p>
    <w:p w:rsidR="003E54F2" w:rsidRDefault="003E54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54F2" w:rsidRDefault="003E54F2">
      <w:pPr>
        <w:pStyle w:val="ConsPlusTitle"/>
        <w:jc w:val="center"/>
      </w:pPr>
    </w:p>
    <w:p w:rsidR="003E54F2" w:rsidRDefault="003E54F2">
      <w:pPr>
        <w:pStyle w:val="ConsPlusTitle"/>
        <w:jc w:val="center"/>
      </w:pPr>
      <w:r>
        <w:t>ПРИКАЗ</w:t>
      </w:r>
    </w:p>
    <w:p w:rsidR="003E54F2" w:rsidRDefault="003E54F2">
      <w:pPr>
        <w:pStyle w:val="ConsPlusTitle"/>
        <w:jc w:val="center"/>
      </w:pPr>
      <w:r>
        <w:t>от 15 января 2014 г. N 14</w:t>
      </w:r>
    </w:p>
    <w:p w:rsidR="003E54F2" w:rsidRDefault="003E54F2">
      <w:pPr>
        <w:pStyle w:val="ConsPlusTitle"/>
        <w:jc w:val="center"/>
      </w:pPr>
    </w:p>
    <w:p w:rsidR="003E54F2" w:rsidRDefault="003E54F2">
      <w:pPr>
        <w:pStyle w:val="ConsPlusTitle"/>
        <w:jc w:val="center"/>
      </w:pPr>
      <w:r>
        <w:t>ОБ УТВЕРЖДЕНИИ ПОКАЗАТЕЛЕЙ МОНИТОРИНГА СИСТЕМЫ ОБРАЗОВАНИЯ</w:t>
      </w:r>
    </w:p>
    <w:p w:rsidR="003E54F2" w:rsidRDefault="003E54F2">
      <w:pPr>
        <w:pStyle w:val="ConsPlusNormal"/>
        <w:jc w:val="center"/>
      </w:pPr>
      <w:r>
        <w:t>Список изменяющих документов</w:t>
      </w:r>
    </w:p>
    <w:p w:rsidR="003E54F2" w:rsidRDefault="003E54F2">
      <w:pPr>
        <w:pStyle w:val="ConsPlusNormal"/>
        <w:jc w:val="center"/>
      </w:pPr>
      <w:proofErr w:type="gramStart"/>
      <w:r>
        <w:t xml:space="preserve">(в ред. Приказов Минобрнауки России от 02.03.2015 </w:t>
      </w:r>
      <w:hyperlink r:id="rId5" w:history="1">
        <w:r>
          <w:rPr>
            <w:color w:val="0000FF"/>
          </w:rPr>
          <w:t>N 135</w:t>
        </w:r>
      </w:hyperlink>
      <w:r>
        <w:t>,</w:t>
      </w:r>
      <w:proofErr w:type="gramEnd"/>
    </w:p>
    <w:p w:rsidR="003E54F2" w:rsidRDefault="003E54F2">
      <w:pPr>
        <w:pStyle w:val="ConsPlusNormal"/>
        <w:jc w:val="center"/>
      </w:pPr>
      <w:r>
        <w:t xml:space="preserve">от 12.10.2015 </w:t>
      </w:r>
      <w:hyperlink r:id="rId6" w:history="1">
        <w:r>
          <w:rPr>
            <w:color w:val="0000FF"/>
          </w:rPr>
          <w:t>N 1123</w:t>
        </w:r>
      </w:hyperlink>
      <w:r>
        <w:t>)</w:t>
      </w:r>
    </w:p>
    <w:p w:rsidR="003E54F2" w:rsidRDefault="003E54F2">
      <w:pPr>
        <w:pStyle w:val="ConsPlusNormal"/>
        <w:jc w:val="center"/>
      </w:pPr>
    </w:p>
    <w:p w:rsidR="003E54F2" w:rsidRDefault="003E54F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3E54F2" w:rsidRDefault="003E54F2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образования.</w:t>
      </w: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jc w:val="right"/>
      </w:pPr>
      <w:r>
        <w:t>Министр</w:t>
      </w:r>
    </w:p>
    <w:p w:rsidR="003E54F2" w:rsidRDefault="003E54F2">
      <w:pPr>
        <w:pStyle w:val="ConsPlusNormal"/>
        <w:jc w:val="right"/>
      </w:pPr>
      <w:r>
        <w:t>Д.В.ЛИВАНОВ</w:t>
      </w: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jc w:val="right"/>
      </w:pPr>
      <w:r>
        <w:t>Приложение</w:t>
      </w:r>
    </w:p>
    <w:p w:rsidR="003E54F2" w:rsidRDefault="003E54F2">
      <w:pPr>
        <w:pStyle w:val="ConsPlusNormal"/>
        <w:jc w:val="right"/>
      </w:pPr>
    </w:p>
    <w:p w:rsidR="003E54F2" w:rsidRDefault="003E54F2">
      <w:pPr>
        <w:pStyle w:val="ConsPlusNormal"/>
        <w:jc w:val="right"/>
      </w:pPr>
      <w:r>
        <w:t>Утверждены</w:t>
      </w:r>
    </w:p>
    <w:p w:rsidR="003E54F2" w:rsidRDefault="003E54F2">
      <w:pPr>
        <w:pStyle w:val="ConsPlusNormal"/>
        <w:jc w:val="right"/>
      </w:pPr>
      <w:r>
        <w:t>приказом Министерства образования</w:t>
      </w:r>
    </w:p>
    <w:p w:rsidR="003E54F2" w:rsidRDefault="003E54F2">
      <w:pPr>
        <w:pStyle w:val="ConsPlusNormal"/>
        <w:jc w:val="right"/>
      </w:pPr>
      <w:r>
        <w:t>и науки Российской Федерации</w:t>
      </w:r>
    </w:p>
    <w:p w:rsidR="003E54F2" w:rsidRDefault="003E54F2">
      <w:pPr>
        <w:pStyle w:val="ConsPlusNormal"/>
        <w:jc w:val="right"/>
      </w:pPr>
      <w:r>
        <w:t>от 15 января 2014 г. N 14</w:t>
      </w: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Title"/>
        <w:jc w:val="center"/>
      </w:pPr>
      <w:bookmarkStart w:id="0" w:name="P31"/>
      <w:bookmarkEnd w:id="0"/>
      <w:r>
        <w:lastRenderedPageBreak/>
        <w:t xml:space="preserve">ПОКАЗАТЕЛИ </w:t>
      </w:r>
      <w:hyperlink r:id="rId8" w:history="1">
        <w:r>
          <w:rPr>
            <w:color w:val="0000FF"/>
          </w:rPr>
          <w:t>МОНИТОРИНГА</w:t>
        </w:r>
      </w:hyperlink>
      <w:r>
        <w:t xml:space="preserve"> СИСТЕМЫ ОБРАЗОВАНИЯ</w:t>
      </w:r>
    </w:p>
    <w:p w:rsidR="003E54F2" w:rsidRDefault="003E54F2">
      <w:pPr>
        <w:pStyle w:val="ConsPlusNormal"/>
        <w:jc w:val="center"/>
      </w:pPr>
      <w:r>
        <w:t>Список изменяющих документов</w:t>
      </w:r>
    </w:p>
    <w:p w:rsidR="003E54F2" w:rsidRDefault="003E54F2">
      <w:pPr>
        <w:pStyle w:val="ConsPlusNormal"/>
        <w:jc w:val="center"/>
      </w:pPr>
      <w:proofErr w:type="gramStart"/>
      <w:r>
        <w:t xml:space="preserve">(в ред. Приказов Минобрнауки России от 02.03.2015 </w:t>
      </w:r>
      <w:hyperlink r:id="rId9" w:history="1">
        <w:r>
          <w:rPr>
            <w:color w:val="0000FF"/>
          </w:rPr>
          <w:t>N 135</w:t>
        </w:r>
      </w:hyperlink>
      <w:r>
        <w:t>,</w:t>
      </w:r>
      <w:proofErr w:type="gramEnd"/>
    </w:p>
    <w:p w:rsidR="003E54F2" w:rsidRDefault="003E54F2">
      <w:pPr>
        <w:pStyle w:val="ConsPlusNormal"/>
        <w:jc w:val="center"/>
      </w:pPr>
      <w:r>
        <w:t xml:space="preserve">от 12.10.2015 </w:t>
      </w:r>
      <w:hyperlink r:id="rId10" w:history="1">
        <w:r>
          <w:rPr>
            <w:color w:val="0000FF"/>
          </w:rPr>
          <w:t>N 1123</w:t>
        </w:r>
      </w:hyperlink>
      <w:r>
        <w:t>)</w:t>
      </w:r>
    </w:p>
    <w:p w:rsidR="003E54F2" w:rsidRDefault="003E54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42"/>
        <w:gridCol w:w="1357"/>
      </w:tblGrid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I. Общее образование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1. Сведения о развитии дошкольного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1.2.1. Удельный вес численности детей, обучающихся в группах кратковременного </w:t>
            </w:r>
            <w:r>
              <w:lastRenderedPageBreak/>
              <w:t>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lastRenderedPageBreak/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квадратный метр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водоснабжение;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1.4.5. Число персональных компьютеров, доступных для использования детьми, в </w:t>
            </w:r>
            <w:r>
              <w:lastRenderedPageBreak/>
              <w:t>расчете на 100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lastRenderedPageBreak/>
              <w:t>е</w:t>
            </w:r>
            <w:proofErr w:type="gramEnd"/>
            <w:r>
              <w:t>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lastRenderedPageBreak/>
              <w:t xml:space="preserve">с туберкулезной интоксикацией;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часто болеющих;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284"/>
              <w:jc w:val="both"/>
            </w:pPr>
            <w:r>
              <w:t xml:space="preserve">группы комбинированной направленности.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1.5.3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 w:firstLine="284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 w:firstLine="284"/>
              <w:jc w:val="both"/>
            </w:pPr>
            <w:r>
              <w:t xml:space="preserve">с тяжелыми нарушениями речи;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 w:firstLine="284"/>
              <w:jc w:val="both"/>
            </w:pPr>
            <w:r>
              <w:t xml:space="preserve">с нарушениями зрения: слепые, слабовидящие;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lastRenderedPageBreak/>
              <w:t xml:space="preserve">с туберкулезной интоксикацией;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часто болеющих;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284"/>
              <w:jc w:val="both"/>
            </w:pPr>
            <w:r>
              <w:t xml:space="preserve">группы комбинированной направленности.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1.5.4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1.5.5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д</w:t>
            </w:r>
            <w:proofErr w:type="gramEnd"/>
            <w:r>
              <w:t>ень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т</w:t>
            </w:r>
            <w:proofErr w:type="gramEnd"/>
            <w:r>
              <w:t>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педагогических работников - 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из них учителей.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вадратный метр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водопровод;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t>с</w:t>
            </w:r>
            <w:proofErr w:type="gramEnd"/>
            <w:r>
              <w:t xml:space="preserve"> и выше, </w:t>
            </w:r>
            <w:proofErr w:type="gramStart"/>
            <w:r>
              <w:t>в</w:t>
            </w:r>
            <w:proofErr w:type="gramEnd"/>
            <w: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lastRenderedPageBreak/>
              <w:t xml:space="preserve">с тяжелыми нарушениями речи;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2.5.3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lastRenderedPageBreak/>
              <w:t xml:space="preserve">со сложными дефектами (множественными нарушениями);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2.5.4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всего;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учителя-дефектологи;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педагоги-психологи;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учителя-логопеды;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социальные педагоги;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тьюторы.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2.5.5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2.6.1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по математике;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балл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балл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балл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балл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2.8.1. Темп роста числа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т</w:t>
            </w:r>
            <w:proofErr w:type="gramEnd"/>
            <w:r>
              <w:t>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II. Профессиональное образование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3.1.3. Число поданных заявлений </w:t>
            </w:r>
            <w:proofErr w:type="gramStart"/>
            <w: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>
              <w:t xml:space="preserve"> на 100 бюджетных мест.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е</w:t>
            </w:r>
            <w:proofErr w:type="gramEnd"/>
            <w:r>
              <w:t>диница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 xml:space="preserve">(п. 3.1.3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организаций. &lt;*&gt;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3.3.7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>3.3.8. 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 &lt;*&gt;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3.3.8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>3.3.9. Удельный вес численности педагогических работников, освоивших дополнительные профессиональные программы в форме стажировки на предприятиях и (или) в организациях реального сектора экономики в течение последних 3-х лет, в общей численности педагогических работников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3.3.10.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3.3.10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</w:t>
            </w:r>
            <w:r>
              <w:lastRenderedPageBreak/>
              <w:t>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3.4.5. Удельный вес числа </w:t>
            </w:r>
            <w:proofErr w:type="gramStart"/>
            <w:r>
              <w:t>организаций, подключенных к Интернету со скоростью передачи данных 2 Мбит/сек</w:t>
            </w:r>
            <w:proofErr w:type="gramEnd"/>
            <w:r>
              <w:t>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квадратный метр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квадратный метр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3.5.2. Удельный вес численности студентов с ограниченными возможностями здоровья в общей численности студентов, обучающихся по образовательным </w:t>
            </w:r>
            <w:r>
              <w:lastRenderedPageBreak/>
              <w:t>программам среднего профессионального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3.5.4. Численность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 по формам обучения: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</w:pPr>
            <w:r>
              <w:t>очная форма обучения &lt;****&gt;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</w:pPr>
            <w:r>
              <w:t>очно-заочная форма обучения &lt;****&gt;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человек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567"/>
            </w:pPr>
            <w:r>
              <w:t>заочная форма обучения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человек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3.5.5. Удельный вес численности студентов-инвалидов и студентов с ограниченными возможностями здоровья, обучающихся по адаптированным образовательным программам, в общей численности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образования: &lt;****&gt;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567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 xml:space="preserve">(п. 3.5.5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3.6.2. Уровень безработицы выпускников,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программы подготовки квалифицированных рабочих, служащих;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3.6.3. Удельный вес численности выпускников,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</w:pPr>
            <w:r>
              <w:t>программы подготовки квалифицированных рабочих, служащих; &lt;*&gt;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ind w:left="567"/>
            </w:pPr>
            <w:r>
              <w:t>программы подготовки специалистов среднего звена. &lt;*&gt;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3.6.3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профессиональные образовательные организации;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тысяча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тысяча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3.9.2. </w:t>
            </w:r>
            <w:proofErr w:type="gramStart"/>
            <w:r>
              <w:t>Удельный вес профессиональных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количестве профессиональных образовательных организаций. &lt;****&gt;</w:t>
            </w:r>
            <w:proofErr w:type="gramEnd"/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3.9.2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</w:t>
            </w:r>
            <w:r>
              <w:lastRenderedPageBreak/>
              <w:t>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lastRenderedPageBreak/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 xml:space="preserve">4. Сведения о развитии высшего образования </w:t>
            </w:r>
            <w:hyperlink w:anchor="P10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</w:t>
            </w:r>
            <w:r>
              <w:lastRenderedPageBreak/>
              <w:t>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очная форма обучения;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бакалавриата;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специалитета;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магистратуры.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доктора наук;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кандидата наук.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4.4.4. Удельный вес числа </w:t>
            </w:r>
            <w:proofErr w:type="gramStart"/>
            <w:r>
              <w:t>организаций, подключенных к Интернету со скоростью передачи данных 2 Мбит/сек</w:t>
            </w:r>
            <w:proofErr w:type="gramEnd"/>
            <w:r>
              <w:t>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вадратный метр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4.6.2. Уровень безработицы выпускников,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т</w:t>
            </w:r>
            <w:proofErr w:type="gramEnd"/>
            <w:r>
              <w:t>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т</w:t>
            </w:r>
            <w:proofErr w:type="gramEnd"/>
            <w:r>
              <w:t>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4.9.4. </w:t>
            </w:r>
            <w:proofErr w:type="gramStart"/>
            <w: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общежития.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III. Дополнительное образование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5.2.2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5.2.3.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5.2.3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вадратный метр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водопровод: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т</w:t>
            </w:r>
            <w:proofErr w:type="gramEnd"/>
            <w:r>
              <w:t>ысяча рублей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5.8.1. Удельный вес числа организаций, имеющих пожарные краны и рукава, в общем </w:t>
            </w:r>
            <w:r>
              <w:lastRenderedPageBreak/>
              <w:t>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lastRenderedPageBreak/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приобретение актуальных знаний, умений, практических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улучшение знаний в рамках школьной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6.1.2. Удельный вес численности лиц,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квалификации, профессиональной переподготовки в образовательных организациях, реализующих дополнительные профессиональные программы, в общей численности занятых в организациях реального сектора экономики.</w:t>
            </w:r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(п. 6.1.2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доктора наук;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 xml:space="preserve">кандидата наук.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всего;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учебно-лабораторные здания;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общежития.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>
              <w:t xml:space="preserve">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009" w:history="1">
              <w:r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IV. Профессиональное обучение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 Сведения о развитии профессионального обучения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7.1.1. Численность лиц, прошедших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профессионального обучения (в профессиональных образовательных организациях, </w:t>
            </w:r>
            <w:r>
              <w:lastRenderedPageBreak/>
              <w:t>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lastRenderedPageBreak/>
              <w:t>тысяча 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тысяча 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тысяча 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переподготовка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тысяча 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повышение квалификации рабочих, служащих.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тысяча человек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7.2.1. Удельный вес численности лиц, прошедших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7.6.1. Удельный вес лиц, трудоустроившихся в течение 1 года после окончания </w:t>
            </w:r>
            <w:proofErr w:type="gramStart"/>
            <w:r>
              <w:t>обучения по</w:t>
            </w:r>
            <w:proofErr w:type="gramEnd"/>
            <w: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общеобразовательные организации;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 xml:space="preserve">образовательные организации высшего образования;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организации дополнительного образования;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учебные центры профессиональной квалификации. </w:t>
            </w:r>
            <w:hyperlink w:anchor="P10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единица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бюджетные ассигнования</w:t>
            </w:r>
            <w:proofErr w:type="gramStart"/>
            <w:r>
              <w:t xml:space="preserve">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009" w:history="1">
              <w:r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финансовые средства от приносящей доход деятельности</w:t>
            </w:r>
            <w:proofErr w:type="gramStart"/>
            <w:r>
              <w:t xml:space="preserve">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009" w:history="1">
              <w:r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>
              <w:t xml:space="preserve">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009" w:history="1">
              <w:r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V. Дополнительная информация о системе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8.1. Интеграция образования и науки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lastRenderedPageBreak/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исключительно профессиональной подготовки квалифицированных рабочих, служащих;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proofErr w:type="gramStart"/>
            <w:r>
              <w:t>п</w:t>
            </w:r>
            <w:proofErr w:type="gramEnd"/>
            <w:r>
              <w:t xml:space="preserve">рофессиональной подготовки специалистов среднего звена;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бакалавриата, подготовки специалистов, магистратуры.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center"/>
            </w:pPr>
            <w:r>
              <w:lastRenderedPageBreak/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3E54F2" w:rsidRDefault="003E54F2">
            <w:pPr>
              <w:pStyle w:val="ConsPlusNormal"/>
            </w:pPr>
            <w:r>
              <w:t>балл</w:t>
            </w:r>
          </w:p>
        </w:tc>
      </w:tr>
      <w:tr w:rsidR="003E54F2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3E54F2" w:rsidRDefault="003E54F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 xml:space="preserve">международное исследование PIRLS.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международное исследование TIMSS: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математика (4 класс);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математика (8 класс);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естествознание (4 класс);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естествознание (8 класс).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международное исследование PISA: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читательская грамотность;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proofErr w:type="gramStart"/>
            <w:r>
              <w:t>м</w:t>
            </w:r>
            <w:proofErr w:type="gramEnd"/>
            <w:r>
              <w:t xml:space="preserve">атематическая грамотность;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567"/>
              <w:jc w:val="both"/>
            </w:pPr>
            <w:r>
              <w:t xml:space="preserve">естественнонаучная грамотность.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платной основе. </w:t>
            </w:r>
            <w:hyperlink w:anchor="P1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</w:t>
            </w:r>
            <w:r>
              <w:lastRenderedPageBreak/>
              <w:t>выпускников):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lastRenderedPageBreak/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образовательные программы высшего образования - программы бакалавриата;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программы высшего образования - программы подготовки специалитета;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ind w:left="283"/>
              <w:jc w:val="both"/>
            </w:pPr>
            <w: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>
              <w:t xml:space="preserve">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007" w:history="1">
              <w:r>
                <w:rPr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11.3. Образование и занятость молодежи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t>процент</w:t>
            </w: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</w:p>
        </w:tc>
      </w:tr>
      <w:tr w:rsidR="003E54F2">
        <w:tc>
          <w:tcPr>
            <w:tcW w:w="8342" w:type="dxa"/>
          </w:tcPr>
          <w:p w:rsidR="003E54F2" w:rsidRDefault="003E54F2">
            <w:pPr>
              <w:pStyle w:val="ConsPlusNormal"/>
              <w:jc w:val="both"/>
            </w:pPr>
            <w:r>
              <w:t xml:space="preserve">11.4.1. </w:t>
            </w:r>
            <w:proofErr w:type="gramStart"/>
            <w: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</w:t>
            </w:r>
            <w:r>
              <w:lastRenderedPageBreak/>
              <w:t xml:space="preserve">программы в сфере поддержки талантливой молодежи, в общей численности молодежи в возрасте от 14 до 30 лет.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007" w:history="1">
              <w:r>
                <w:rPr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</w:tcPr>
          <w:p w:rsidR="003E54F2" w:rsidRDefault="003E54F2">
            <w:pPr>
              <w:pStyle w:val="ConsPlusNormal"/>
            </w:pPr>
            <w:r>
              <w:lastRenderedPageBreak/>
              <w:t>процент</w:t>
            </w:r>
          </w:p>
        </w:tc>
      </w:tr>
    </w:tbl>
    <w:p w:rsidR="003E54F2" w:rsidRDefault="003E54F2">
      <w:pPr>
        <w:pStyle w:val="ConsPlusNormal"/>
        <w:jc w:val="center"/>
      </w:pPr>
    </w:p>
    <w:p w:rsidR="003E54F2" w:rsidRDefault="003E54F2">
      <w:pPr>
        <w:pStyle w:val="ConsPlusNormal"/>
        <w:ind w:firstLine="540"/>
        <w:jc w:val="both"/>
      </w:pPr>
      <w:r>
        <w:t>--------------------------------</w:t>
      </w:r>
    </w:p>
    <w:p w:rsidR="003E54F2" w:rsidRDefault="003E54F2">
      <w:pPr>
        <w:pStyle w:val="ConsPlusNormal"/>
        <w:ind w:firstLine="540"/>
        <w:jc w:val="both"/>
      </w:pPr>
      <w:bookmarkStart w:id="1" w:name="P1006"/>
      <w:bookmarkEnd w:id="1"/>
      <w: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3E54F2" w:rsidRDefault="003E54F2">
      <w:pPr>
        <w:pStyle w:val="ConsPlusNormal"/>
        <w:ind w:firstLine="540"/>
        <w:jc w:val="both"/>
      </w:pPr>
      <w:bookmarkStart w:id="2" w:name="P1007"/>
      <w:bookmarkEnd w:id="2"/>
      <w:r>
        <w:t>&lt;**&gt; Сбор данных начинается с 2015 года.</w:t>
      </w:r>
    </w:p>
    <w:p w:rsidR="003E54F2" w:rsidRDefault="003E54F2">
      <w:pPr>
        <w:pStyle w:val="ConsPlusNormal"/>
        <w:ind w:firstLine="540"/>
        <w:jc w:val="both"/>
      </w:pPr>
      <w:bookmarkStart w:id="3" w:name="P1008"/>
      <w:bookmarkEnd w:id="3"/>
      <w:r>
        <w:t xml:space="preserve">&lt;***&gt; По разделу также осуществляется сбор данных в соответствии с </w:t>
      </w:r>
      <w:hyperlink r:id="rId31" w:history="1">
        <w:r>
          <w:rPr>
            <w:color w:val="0000FF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3E54F2" w:rsidRDefault="003E54F2">
      <w:pPr>
        <w:pStyle w:val="ConsPlusNormal"/>
        <w:ind w:firstLine="540"/>
        <w:jc w:val="both"/>
      </w:pPr>
      <w:bookmarkStart w:id="4" w:name="P1009"/>
      <w:bookmarkEnd w:id="4"/>
      <w:r>
        <w:t>&lt;****&gt; Сбор данных начинается с 2016 года.</w:t>
      </w: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ind w:firstLine="540"/>
        <w:jc w:val="both"/>
      </w:pPr>
    </w:p>
    <w:p w:rsidR="003E54F2" w:rsidRDefault="003E5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2F1" w:rsidRDefault="009752F1"/>
    <w:sectPr w:rsidR="009752F1" w:rsidSect="00120A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3E54F2"/>
    <w:rsid w:val="003E54F2"/>
    <w:rsid w:val="0097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12B3E193F2DDE0B98BFB2820CCB72AC798E63CD7CCAF1E4204B853CD0E79pDx0J" TargetMode="External"/><Relationship Id="rId13" Type="http://schemas.openxmlformats.org/officeDocument/2006/relationships/hyperlink" Target="consultantplus://offline/ref=3864F423C5CE9F86A9EF12B3E193F2DDE0B78DFD2025CCB72AC798E63CD7CCAF1E4204B853CC0D7CpDx4J" TargetMode="External"/><Relationship Id="rId18" Type="http://schemas.openxmlformats.org/officeDocument/2006/relationships/hyperlink" Target="consultantplus://offline/ref=3864F423C5CE9F86A9EF12B3E193F2DDE0B88DF42926CCB72AC798E63CD7CCAF1E4204B853CC0D7ApDx7J" TargetMode="External"/><Relationship Id="rId26" Type="http://schemas.openxmlformats.org/officeDocument/2006/relationships/hyperlink" Target="consultantplus://offline/ref=3864F423C5CE9F86A9EF12B3E193F2DDE0B88DF42926CCB72AC798E63CD7CCAF1E4204B853CC0D7EpDx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64F423C5CE9F86A9EF12B3E193F2DDE0B88DF42926CCB72AC798E63CD7CCAF1E4204B853CC0D79pDx9J" TargetMode="External"/><Relationship Id="rId7" Type="http://schemas.openxmlformats.org/officeDocument/2006/relationships/hyperlink" Target="consultantplus://offline/ref=3864F423C5CE9F86A9EF12B3E193F2DDE0B58AF82728CCB72AC798E63CD7CCAF1E4204B853CC0D7ApDx6J" TargetMode="External"/><Relationship Id="rId12" Type="http://schemas.openxmlformats.org/officeDocument/2006/relationships/hyperlink" Target="consultantplus://offline/ref=3864F423C5CE9F86A9EF12B3E193F2DDE0B78DFD2025CCB72AC798E63CD7CCAF1E4204B853CC0D7FpDx5J" TargetMode="External"/><Relationship Id="rId17" Type="http://schemas.openxmlformats.org/officeDocument/2006/relationships/hyperlink" Target="consultantplus://offline/ref=3864F423C5CE9F86A9EF12B3E193F2DDE0B88DF42926CCB72AC798E63CD7CCAF1E4204B853CC0D7ApDx0J" TargetMode="External"/><Relationship Id="rId25" Type="http://schemas.openxmlformats.org/officeDocument/2006/relationships/hyperlink" Target="consultantplus://offline/ref=3864F423C5CE9F86A9EF12B3E193F2DDE0B88DF42926CCB72AC798E63CD7CCAF1E4204B853CC0D7EpDx1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4F423C5CE9F86A9EF12B3E193F2DDE0B78DFD2025CCB72AC798E63CD7CCAF1E4204B853CC0C7ApDx9J" TargetMode="External"/><Relationship Id="rId20" Type="http://schemas.openxmlformats.org/officeDocument/2006/relationships/hyperlink" Target="consultantplus://offline/ref=3864F423C5CE9F86A9EF12B3E193F2DDE0B88DF42926CCB72AC798E63CD7CCAF1E4204B853CC0D79pDx4J" TargetMode="External"/><Relationship Id="rId29" Type="http://schemas.openxmlformats.org/officeDocument/2006/relationships/hyperlink" Target="consultantplus://offline/ref=3864F423C5CE9F86A9EF12B3E193F2DDE0B88DF42926CCB72AC798E63CD7CCAF1E4204B853CC0D7DpD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4F423C5CE9F86A9EF12B3E193F2DDE0B88DF42926CCB72AC798E63CD7CCAF1E4204B853CC0D7BpDx7J" TargetMode="External"/><Relationship Id="rId11" Type="http://schemas.openxmlformats.org/officeDocument/2006/relationships/hyperlink" Target="consultantplus://offline/ref=3864F423C5CE9F86A9EF12B3E193F2DDE0B78DFD2025CCB72AC798E63CD7CCAF1E4204B853CC0D7ApDx0J" TargetMode="External"/><Relationship Id="rId24" Type="http://schemas.openxmlformats.org/officeDocument/2006/relationships/hyperlink" Target="consultantplus://offline/ref=3864F423C5CE9F86A9EF12B3E193F2DDE0B88DF42926CCB72AC798E63CD7CCAF1E4204B853CC0D7FpDx5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864F423C5CE9F86A9EF12B3E193F2DDE0B78DFD2025CCB72AC798E63CD7CCAF1E4204B853CC0D7BpDx7J" TargetMode="External"/><Relationship Id="rId15" Type="http://schemas.openxmlformats.org/officeDocument/2006/relationships/hyperlink" Target="consultantplus://offline/ref=3864F423C5CE9F86A9EF12B3E193F2DDE0B78DFD2025CCB72AC798E63CD7CCAF1E4204B853CC0D72pDx8J" TargetMode="External"/><Relationship Id="rId23" Type="http://schemas.openxmlformats.org/officeDocument/2006/relationships/hyperlink" Target="consultantplus://offline/ref=3864F423C5CE9F86A9EF12B3E193F2DDE0B88DF42926CCB72AC798E63CD7CCAF1E4204B853CC0D78pDx4J" TargetMode="External"/><Relationship Id="rId28" Type="http://schemas.openxmlformats.org/officeDocument/2006/relationships/hyperlink" Target="consultantplus://offline/ref=3864F423C5CE9F86A9EF12B3E193F2DDE0B78DFD2025CCB72AC798E63CD7CCAF1E4204B853CC0C78pDx7J" TargetMode="External"/><Relationship Id="rId10" Type="http://schemas.openxmlformats.org/officeDocument/2006/relationships/hyperlink" Target="consultantplus://offline/ref=3864F423C5CE9F86A9EF12B3E193F2DDE0B88DF42926CCB72AC798E63CD7CCAF1E4204B853CC0D7BpDx7J" TargetMode="External"/><Relationship Id="rId19" Type="http://schemas.openxmlformats.org/officeDocument/2006/relationships/hyperlink" Target="consultantplus://offline/ref=3864F423C5CE9F86A9EF12B3E193F2DDE0B88DF42926CCB72AC798E63CD7CCAF1E4204B853CC0D79pDx0J" TargetMode="External"/><Relationship Id="rId31" Type="http://schemas.openxmlformats.org/officeDocument/2006/relationships/hyperlink" Target="consultantplus://offline/ref=3864F423C5CE9F86A9EF12B3E193F2DDE0B582F82220CCB72AC798E63CD7CCAF1E4204B853CC0979pDx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64F423C5CE9F86A9EF12B3E193F2DDE0B78DFD2025CCB72AC798E63CD7CCAF1E4204B853CC0D7BpDx7J" TargetMode="External"/><Relationship Id="rId14" Type="http://schemas.openxmlformats.org/officeDocument/2006/relationships/hyperlink" Target="consultantplus://offline/ref=3864F423C5CE9F86A9EF12B3E193F2DDE0B78DFD2025CCB72AC798E63CD7CCAF1E4204B853CC0D7CpDx9J" TargetMode="External"/><Relationship Id="rId22" Type="http://schemas.openxmlformats.org/officeDocument/2006/relationships/hyperlink" Target="consultantplus://offline/ref=3864F423C5CE9F86A9EF12B3E193F2DDE0B88DF42926CCB72AC798E63CD7CCAF1E4204B853CC0D78pDx3J" TargetMode="External"/><Relationship Id="rId27" Type="http://schemas.openxmlformats.org/officeDocument/2006/relationships/hyperlink" Target="consultantplus://offline/ref=3864F423C5CE9F86A9EF12B3E193F2DDE0B78DFD2025CCB72AC798E63CD7CCAF1E4204B853CC0C78pDx3J" TargetMode="External"/><Relationship Id="rId30" Type="http://schemas.openxmlformats.org/officeDocument/2006/relationships/hyperlink" Target="consultantplus://offline/ref=3864F423C5CE9F86A9EF12B3E193F2DDE0B88DF42926CCB72AC798E63CD7CCAF1E4204B853CC0D7DpD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11373</Words>
  <Characters>64830</Characters>
  <Application>Microsoft Office Word</Application>
  <DocSecurity>0</DocSecurity>
  <Lines>540</Lines>
  <Paragraphs>152</Paragraphs>
  <ScaleCrop>false</ScaleCrop>
  <Company>WolfishLair</Company>
  <LinksUpToDate>false</LinksUpToDate>
  <CharactersWithSpaces>76051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2016-01-26T09:49:00Z</dcterms:created>
  <dcterms:modified xsi:type="dcterms:W3CDTF">2016-01-26T09:50:00Z</dcterms:modified>
</cp:coreProperties>
</file>